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029" w:rsidRDefault="00762029" w:rsidP="00762029">
      <w:pPr>
        <w:spacing w:after="0" w:line="240" w:lineRule="auto"/>
        <w:ind w:firstLine="708"/>
        <w:jc w:val="both"/>
        <w:rPr>
          <w:rFonts w:ascii="Times New Roman" w:eastAsia="Times New Roman" w:hAnsi="Times New Roman" w:cs="Times New Roman"/>
          <w:b/>
        </w:rPr>
      </w:pPr>
      <w:bookmarkStart w:id="0" w:name="_Hlk117594460"/>
      <w:r w:rsidRPr="00762029">
        <w:rPr>
          <w:rFonts w:ascii="Times New Roman" w:eastAsia="Times New Roman" w:hAnsi="Times New Roman" w:cs="Times New Roman"/>
          <w:b/>
        </w:rPr>
        <w:t>Skrócony opis rezultatów projektu</w:t>
      </w:r>
    </w:p>
    <w:p w:rsidR="00762029" w:rsidRPr="00762029" w:rsidRDefault="00762029" w:rsidP="00762029">
      <w:pPr>
        <w:spacing w:after="0" w:line="240" w:lineRule="auto"/>
        <w:ind w:firstLine="708"/>
        <w:jc w:val="both"/>
        <w:rPr>
          <w:rFonts w:ascii="Times New Roman" w:eastAsia="Times New Roman" w:hAnsi="Times New Roman" w:cs="Times New Roman"/>
          <w:b/>
        </w:rPr>
      </w:pPr>
    </w:p>
    <w:p w:rsidR="00762029" w:rsidRPr="00762029" w:rsidRDefault="00762029" w:rsidP="00762029">
      <w:pPr>
        <w:spacing w:after="0" w:line="240" w:lineRule="auto"/>
        <w:ind w:firstLine="708"/>
        <w:jc w:val="both"/>
        <w:rPr>
          <w:rFonts w:ascii="Times New Roman" w:eastAsia="Times New Roman" w:hAnsi="Times New Roman" w:cs="Times New Roman"/>
        </w:rPr>
      </w:pPr>
      <w:r w:rsidRPr="00762029">
        <w:rPr>
          <w:rFonts w:ascii="Times New Roman" w:eastAsia="Times New Roman" w:hAnsi="Times New Roman" w:cs="Times New Roman"/>
        </w:rPr>
        <w:t xml:space="preserve">Wprowadzane w ramach Wspólnej Polityki Rolnej (WPR) UE zmiany w sposobach interwencji w sektorze rolnym mają na celu niwelowanie negatywnych efektów tej polityki. Istotne w tym kontekście jest oszacowanie ekonomicznych efektów tych zmian, w tym kwestii dobrobytu ekonomicznego różnych grup interesariuszy WPR. </w:t>
      </w:r>
      <w:bookmarkStart w:id="1" w:name="_Hlk117714716"/>
      <w:bookmarkStart w:id="2" w:name="_GoBack"/>
      <w:bookmarkEnd w:id="0"/>
      <w:r w:rsidRPr="00762029">
        <w:rPr>
          <w:rFonts w:ascii="Times New Roman" w:eastAsia="Times New Roman" w:hAnsi="Times New Roman" w:cs="Times New Roman"/>
        </w:rPr>
        <w:t>Celem przeprowadzonych w ramach projektu badań była ocena możliwości aplikacji modelu równowagi cząstkowej sektora rolnego oraz teorii gier niekooperacyjnych do przewidywania efektów zmian WPR UR z uwzględnieniem dobrobytu ekonomicznego.</w:t>
      </w:r>
      <w:r w:rsidRPr="00762029">
        <w:rPr>
          <w:rFonts w:ascii="Times New Roman" w:eastAsia="Times New Roman" w:hAnsi="Times New Roman" w:cs="Times New Roman"/>
          <w:color w:val="000000"/>
          <w:lang w:eastAsia="pl-PL"/>
        </w:rPr>
        <w:t xml:space="preserve"> </w:t>
      </w:r>
      <w:bookmarkEnd w:id="1"/>
      <w:bookmarkEnd w:id="2"/>
    </w:p>
    <w:p w:rsidR="00762029" w:rsidRPr="00762029" w:rsidRDefault="00762029" w:rsidP="00762029">
      <w:pPr>
        <w:spacing w:after="0" w:line="240" w:lineRule="auto"/>
        <w:ind w:firstLine="708"/>
        <w:jc w:val="both"/>
        <w:rPr>
          <w:rFonts w:ascii="Times New Roman" w:eastAsia="Times New Roman" w:hAnsi="Times New Roman" w:cs="Times New Roman"/>
        </w:rPr>
      </w:pPr>
      <w:r w:rsidRPr="00762029">
        <w:rPr>
          <w:rFonts w:ascii="Times New Roman" w:eastAsia="Times New Roman" w:hAnsi="Times New Roman" w:cs="Times New Roman"/>
        </w:rPr>
        <w:t>Punktem wyjścia w grach niekooperacyjnych jest dokładny opis problemu strategicznego, przed którym stoją indywidualni gracze. Modele teorii gier zakładają, że gracze są racjonalni co oznacza, że ich układ preferencji odnośnie wyników jest zależny od możliwej do otrzymania użyteczności z każdej strategii zwanej wypłatą. W przeprowadzonych badaniach użyteczności te były wyznaczane na podstawie wyników symulacji modelowych przeprowadzonych przy wykorzystaniu modelu równowagi cząstkowej sektora rolnego CAPRI.</w:t>
      </w:r>
      <w:r w:rsidRPr="00762029">
        <w:rPr>
          <w:rFonts w:ascii="Times New Roman" w:eastAsia="Times New Roman" w:hAnsi="Times New Roman" w:cs="Times New Roman"/>
          <w:b/>
        </w:rPr>
        <w:t xml:space="preserve"> </w:t>
      </w:r>
      <w:r w:rsidRPr="00762029">
        <w:rPr>
          <w:rFonts w:ascii="Times New Roman" w:eastAsia="Times New Roman" w:hAnsi="Times New Roman" w:cs="Times New Roman"/>
        </w:rPr>
        <w:t>W tym celu identyfikowano potencjalne kierunki reform WPR, przeprowadzano symulacje modelowe przy wykorzystaniu modelu CAPRI, na ich podstawie szacowano zmiany dobrobytu graczy, a następnie konstruowano gry opisujące konflikty w zakresie kierunków reform WPR. Na podstawie uzyskanych w wyniku zastosowania teorii przejść stanów równowagi długookresowej przewidywano efekty zmian WPR oraz wskazywano sposoby łagodzenia potencjalnych konfliktów. Kompleksowe określenie preferencji różnych grup beneficjentów WPR wymagało także przeprowadzenia dodatkowych analiz ilościowych, w szczególności dotyczących regionalnego zróżnicowania korzyści płynących ze WPR.</w:t>
      </w:r>
    </w:p>
    <w:p w:rsidR="00762029" w:rsidRPr="00762029" w:rsidRDefault="00762029" w:rsidP="00762029">
      <w:pPr>
        <w:spacing w:after="0" w:line="240" w:lineRule="auto"/>
        <w:rPr>
          <w:rFonts w:ascii="Times New Roman" w:eastAsia="Times New Roman" w:hAnsi="Times New Roman" w:cs="Times New Roman"/>
        </w:rPr>
      </w:pPr>
      <w:r w:rsidRPr="00762029">
        <w:rPr>
          <w:rFonts w:ascii="Times New Roman" w:eastAsia="Times New Roman" w:hAnsi="Times New Roman" w:cs="Times New Roman"/>
        </w:rPr>
        <w:t xml:space="preserve">Do najważniejszych zrealizowanych zadań w ramach projektu należą: </w:t>
      </w:r>
    </w:p>
    <w:p w:rsidR="00762029" w:rsidRPr="00762029" w:rsidRDefault="00762029" w:rsidP="00762029">
      <w:pPr>
        <w:numPr>
          <w:ilvl w:val="0"/>
          <w:numId w:val="2"/>
        </w:numPr>
        <w:spacing w:line="240" w:lineRule="auto"/>
        <w:contextualSpacing/>
        <w:rPr>
          <w:rFonts w:ascii="Times New Roman" w:eastAsia="Times New Roman" w:hAnsi="Times New Roman" w:cs="Times New Roman"/>
        </w:rPr>
      </w:pPr>
      <w:r w:rsidRPr="00762029">
        <w:rPr>
          <w:rFonts w:ascii="Times New Roman" w:eastAsia="Times New Roman" w:hAnsi="Times New Roman" w:cs="Times New Roman"/>
        </w:rPr>
        <w:t>Wykazanie możliwości łącznego zastosowania modelu CAPRI oraz teorii przejść do przewidywania kierunków reform WPR;</w:t>
      </w:r>
    </w:p>
    <w:p w:rsidR="00762029" w:rsidRPr="00762029" w:rsidRDefault="00762029" w:rsidP="00762029">
      <w:pPr>
        <w:numPr>
          <w:ilvl w:val="0"/>
          <w:numId w:val="1"/>
        </w:numPr>
        <w:spacing w:line="240" w:lineRule="auto"/>
        <w:ind w:left="714" w:hanging="357"/>
        <w:contextualSpacing/>
        <w:rPr>
          <w:rFonts w:ascii="Times New Roman" w:eastAsia="Times New Roman" w:hAnsi="Times New Roman" w:cs="Times New Roman"/>
        </w:rPr>
      </w:pPr>
      <w:r w:rsidRPr="00762029">
        <w:rPr>
          <w:rFonts w:ascii="Times New Roman" w:eastAsia="Times New Roman" w:hAnsi="Times New Roman" w:cs="Times New Roman"/>
        </w:rPr>
        <w:t>Oszacowanie zmian dobrobytu ekonomicznego różnych grup interesariuszy WPR przy wykorzystaniu modelu CAPRI;</w:t>
      </w:r>
    </w:p>
    <w:p w:rsidR="00762029" w:rsidRPr="00762029" w:rsidRDefault="00762029" w:rsidP="00762029">
      <w:pPr>
        <w:numPr>
          <w:ilvl w:val="0"/>
          <w:numId w:val="1"/>
        </w:numPr>
        <w:spacing w:line="240" w:lineRule="auto"/>
        <w:ind w:left="714" w:hanging="357"/>
        <w:contextualSpacing/>
        <w:rPr>
          <w:rFonts w:ascii="Times New Roman" w:eastAsia="Times New Roman" w:hAnsi="Times New Roman" w:cs="Times New Roman"/>
        </w:rPr>
      </w:pPr>
      <w:r w:rsidRPr="00762029">
        <w:rPr>
          <w:rFonts w:ascii="Times New Roman" w:eastAsia="Times New Roman" w:hAnsi="Times New Roman" w:cs="Times New Roman"/>
        </w:rPr>
        <w:t xml:space="preserve">Opracowanie metody analizy zróżnicowania przestrzennego aktywności rolników w ubieganiu się o fundusze WPR przy wykorzystaniu globalnego oraz lokalnego wskaźnika autokorelacji przestrzennej </w:t>
      </w:r>
      <w:proofErr w:type="spellStart"/>
      <w:r w:rsidRPr="00762029">
        <w:rPr>
          <w:rFonts w:ascii="Times New Roman" w:eastAsia="Times New Roman" w:hAnsi="Times New Roman" w:cs="Times New Roman"/>
        </w:rPr>
        <w:t>Morana</w:t>
      </w:r>
      <w:proofErr w:type="spellEnd"/>
      <w:r w:rsidRPr="00762029">
        <w:rPr>
          <w:rFonts w:ascii="Times New Roman" w:eastAsia="Times New Roman" w:hAnsi="Times New Roman" w:cs="Times New Roman"/>
        </w:rPr>
        <w:t xml:space="preserve">; </w:t>
      </w:r>
    </w:p>
    <w:p w:rsidR="00762029" w:rsidRPr="00762029" w:rsidRDefault="00762029" w:rsidP="00762029">
      <w:pPr>
        <w:numPr>
          <w:ilvl w:val="0"/>
          <w:numId w:val="1"/>
        </w:numPr>
        <w:spacing w:after="0" w:line="240" w:lineRule="auto"/>
        <w:ind w:left="714" w:hanging="357"/>
        <w:contextualSpacing/>
        <w:rPr>
          <w:rFonts w:ascii="Times New Roman" w:eastAsia="Times New Roman" w:hAnsi="Times New Roman" w:cs="Times New Roman"/>
        </w:rPr>
      </w:pPr>
      <w:r w:rsidRPr="00762029">
        <w:rPr>
          <w:rFonts w:ascii="Times New Roman" w:eastAsia="Times New Roman" w:hAnsi="Times New Roman" w:cs="Times New Roman"/>
        </w:rPr>
        <w:t xml:space="preserve">Wykazanie możliwości zastosowania teorii gier do łagodzenia konfliktów powstających we Wspólnej Polityce Rolnej UE oraz opracowanie i aplikacja algorytmów podziału środków II filaru WPR. </w:t>
      </w:r>
    </w:p>
    <w:p w:rsidR="00762029" w:rsidRPr="00762029" w:rsidRDefault="00762029" w:rsidP="00762029">
      <w:pPr>
        <w:spacing w:after="0"/>
        <w:ind w:firstLine="357"/>
        <w:jc w:val="both"/>
        <w:rPr>
          <w:rFonts w:ascii="Times New Roman" w:eastAsia="Times New Roman" w:hAnsi="Times New Roman" w:cs="Times New Roman"/>
        </w:rPr>
      </w:pPr>
      <w:r w:rsidRPr="00762029">
        <w:rPr>
          <w:rFonts w:ascii="Times New Roman" w:eastAsia="Times New Roman" w:hAnsi="Times New Roman" w:cs="Times New Roman"/>
        </w:rPr>
        <w:t xml:space="preserve">Zrealizowany projekt badawczy koncentruje się na interakcjach pomiędzy różnymi interesariuszami WPR oraz na redystrybucji dobrobytu spowodowanej przewidywanymi zmianami tej polityki, z wykorzystaniem formalnego podejścia metodologicznego. Wykorzystanie metod ilościowych do wyjaśnienia </w:t>
      </w:r>
      <w:proofErr w:type="spellStart"/>
      <w:r w:rsidRPr="00762029">
        <w:rPr>
          <w:rFonts w:ascii="Times New Roman" w:eastAsia="Times New Roman" w:hAnsi="Times New Roman" w:cs="Times New Roman"/>
        </w:rPr>
        <w:t>zachowań</w:t>
      </w:r>
      <w:proofErr w:type="spellEnd"/>
      <w:r w:rsidRPr="00762029">
        <w:rPr>
          <w:rFonts w:ascii="Times New Roman" w:eastAsia="Times New Roman" w:hAnsi="Times New Roman" w:cs="Times New Roman"/>
        </w:rPr>
        <w:t xml:space="preserve"> interesariuszy w sytuacjach decyzyjnych stanowi podstawę teorii wyboru publicznego. Pomimo szybkiego rozwoju tej teorii, istnieje ciągła potrzeba zastosowania modeli do konkretnych problemów decyzyjnych. W związku z tym, pokazanie możliwości zastosowania modelowania formalnego (model równowagi częściowej połączony z elementami teorii gier) w celu zwiększenia zrozumienia i usprawnienia procesu podejmowania decyzji w ramach WPR. stanowi istotny wkład do teorii wyboru publicznego.</w:t>
      </w:r>
    </w:p>
    <w:p w:rsidR="00762029" w:rsidRPr="00762029" w:rsidRDefault="00762029" w:rsidP="00762029">
      <w:pPr>
        <w:spacing w:after="0" w:line="240" w:lineRule="auto"/>
        <w:ind w:firstLine="708"/>
        <w:jc w:val="both"/>
        <w:rPr>
          <w:rFonts w:ascii="Times New Roman" w:eastAsia="Times New Roman" w:hAnsi="Times New Roman" w:cs="Times New Roman"/>
        </w:rPr>
      </w:pPr>
      <w:r w:rsidRPr="00762029">
        <w:rPr>
          <w:rFonts w:ascii="Times New Roman" w:eastAsia="Times New Roman" w:hAnsi="Times New Roman" w:cs="Times New Roman"/>
        </w:rPr>
        <w:t xml:space="preserve">Przeprowadzone w ramach projektu badania mają również charakter poznawczy i przyczyniają się do poszerzenia wiedzy na temat efektów potencjalnych zmian WPR i ich skutków dla dobrobytu  ekonomicznego w UE. Zmiany w rozdysponowaniu środków w ramach WPR są o tyle istotne, że mają wpływ nie tylko na funkcjonowanie gospodarstw rolnych, ale również na inne sektory gospodarki i całe społeczeństwo. Wynika to z faktu, że rolnictwo z jednej strony pełni ważną funkcję dostarczyciela żywności oraz dóbr publicznych, a z drugiej strony z produkcją żywności związany jest bezpośrednio lub pośrednio duży odsetek społeczeństwa. </w:t>
      </w:r>
      <w:r w:rsidRPr="00762029">
        <w:rPr>
          <w:rFonts w:ascii="Times New Roman" w:eastAsia="Times New Roman" w:hAnsi="Times New Roman" w:cs="Times New Roman"/>
          <w:color w:val="000000"/>
          <w:lang w:eastAsia="pl-PL"/>
        </w:rPr>
        <w:t>Ponadto, wyniki badań projektu stanowią wskazówkę dla decydentów na temat ukierunkowywania reform WPR tak, aby przyczynić się do łagodzenia negatywnych efektów tej polityki oraz zwiększenia jej społecznej akceptacji.</w:t>
      </w:r>
      <w:r w:rsidRPr="00762029">
        <w:rPr>
          <w:rFonts w:ascii="Times New Roman" w:eastAsia="Times New Roman" w:hAnsi="Times New Roman" w:cs="Times New Roman"/>
          <w:b/>
          <w:color w:val="000000"/>
          <w:lang w:eastAsia="pl-PL"/>
        </w:rPr>
        <w:t xml:space="preserve"> </w:t>
      </w:r>
    </w:p>
    <w:p w:rsidR="00EE71E2" w:rsidRDefault="00EE71E2"/>
    <w:p w:rsidR="00762029" w:rsidRPr="00D75716" w:rsidRDefault="00762029">
      <w:pPr>
        <w:rPr>
          <w:b/>
        </w:rPr>
      </w:pPr>
      <w:r w:rsidRPr="00762029">
        <w:rPr>
          <w:b/>
        </w:rPr>
        <w:lastRenderedPageBreak/>
        <w:t>Spis publikacji zawierających wyniki badań</w:t>
      </w:r>
    </w:p>
    <w:p w:rsidR="00762029" w:rsidRPr="00762029" w:rsidRDefault="00762029" w:rsidP="00762029">
      <w:pPr>
        <w:numPr>
          <w:ilvl w:val="0"/>
          <w:numId w:val="3"/>
        </w:numPr>
        <w:spacing w:after="0" w:line="240" w:lineRule="auto"/>
        <w:contextualSpacing/>
        <w:jc w:val="both"/>
        <w:rPr>
          <w:rFonts w:ascii="Times New Roman" w:eastAsia="Times New Roman" w:hAnsi="Times New Roman" w:cs="Times New Roman"/>
          <w:color w:val="000000"/>
          <w:sz w:val="24"/>
          <w:szCs w:val="24"/>
          <w:lang w:val="en-US"/>
        </w:rPr>
      </w:pPr>
      <w:proofErr w:type="spellStart"/>
      <w:r w:rsidRPr="00762029">
        <w:rPr>
          <w:rFonts w:ascii="Times New Roman" w:eastAsia="Times New Roman" w:hAnsi="Times New Roman" w:cs="Times New Roman"/>
          <w:color w:val="000000"/>
          <w:sz w:val="24"/>
          <w:szCs w:val="24"/>
          <w:lang w:val="en-US"/>
        </w:rPr>
        <w:t>Kiryluk-Dryjska</w:t>
      </w:r>
      <w:proofErr w:type="spellEnd"/>
      <w:r w:rsidRPr="00762029">
        <w:rPr>
          <w:rFonts w:ascii="Times New Roman" w:eastAsia="Times New Roman" w:hAnsi="Times New Roman" w:cs="Times New Roman"/>
          <w:color w:val="000000"/>
          <w:sz w:val="24"/>
          <w:szCs w:val="24"/>
          <w:lang w:val="en-US"/>
        </w:rPr>
        <w:t xml:space="preserve"> E., Baer-</w:t>
      </w:r>
      <w:proofErr w:type="spellStart"/>
      <w:r w:rsidRPr="00762029">
        <w:rPr>
          <w:rFonts w:ascii="Times New Roman" w:eastAsia="Times New Roman" w:hAnsi="Times New Roman" w:cs="Times New Roman"/>
          <w:color w:val="000000"/>
          <w:sz w:val="24"/>
          <w:szCs w:val="24"/>
          <w:lang w:val="en-US"/>
        </w:rPr>
        <w:t>Nawrocka</w:t>
      </w:r>
      <w:proofErr w:type="spellEnd"/>
      <w:r w:rsidRPr="00762029">
        <w:rPr>
          <w:rFonts w:ascii="Times New Roman" w:eastAsia="Times New Roman" w:hAnsi="Times New Roman" w:cs="Times New Roman"/>
          <w:color w:val="000000"/>
          <w:sz w:val="24"/>
          <w:szCs w:val="24"/>
          <w:lang w:val="en-US"/>
        </w:rPr>
        <w:t xml:space="preserve"> A., Okereke O. (2022): </w:t>
      </w:r>
      <w:r w:rsidRPr="00762029">
        <w:rPr>
          <w:rFonts w:ascii="Times New Roman" w:eastAsia="Times New Roman" w:hAnsi="Times New Roman" w:cs="Times New Roman"/>
          <w:i/>
          <w:color w:val="000000"/>
          <w:sz w:val="24"/>
          <w:szCs w:val="24"/>
          <w:lang w:val="en-US"/>
        </w:rPr>
        <w:t>The Environmental and Climatic CAP Measures in Poland vs. Farmers’ Expectations—Regional Analysis</w:t>
      </w:r>
      <w:r w:rsidRPr="00762029">
        <w:rPr>
          <w:rFonts w:ascii="Times New Roman" w:eastAsia="Times New Roman" w:hAnsi="Times New Roman" w:cs="Times New Roman"/>
          <w:color w:val="000000"/>
          <w:sz w:val="24"/>
          <w:szCs w:val="24"/>
          <w:lang w:val="en-US"/>
        </w:rPr>
        <w:t xml:space="preserve">, Energies, Energies 2022, 15(13), 4529; </w:t>
      </w:r>
      <w:hyperlink r:id="rId5" w:history="1">
        <w:r w:rsidRPr="00762029">
          <w:rPr>
            <w:rFonts w:ascii="Times New Roman" w:eastAsia="Times New Roman" w:hAnsi="Times New Roman" w:cs="Times New Roman"/>
            <w:color w:val="0000FF"/>
            <w:sz w:val="24"/>
            <w:szCs w:val="24"/>
            <w:u w:val="single"/>
            <w:lang w:val="en-US"/>
          </w:rPr>
          <w:t>https://doi.org/10.3390/en15134529</w:t>
        </w:r>
      </w:hyperlink>
    </w:p>
    <w:p w:rsidR="00762029" w:rsidRPr="00762029" w:rsidRDefault="00762029" w:rsidP="00762029">
      <w:pPr>
        <w:numPr>
          <w:ilvl w:val="0"/>
          <w:numId w:val="3"/>
        </w:numPr>
        <w:spacing w:after="0" w:line="240" w:lineRule="auto"/>
        <w:contextualSpacing/>
        <w:jc w:val="both"/>
        <w:rPr>
          <w:rFonts w:ascii="Times New Roman" w:eastAsia="Times New Roman" w:hAnsi="Times New Roman" w:cs="Times New Roman"/>
          <w:color w:val="000000"/>
          <w:sz w:val="24"/>
          <w:szCs w:val="24"/>
          <w:lang w:val="en-US"/>
        </w:rPr>
      </w:pPr>
      <w:proofErr w:type="spellStart"/>
      <w:r w:rsidRPr="00762029">
        <w:rPr>
          <w:rFonts w:ascii="Times New Roman" w:eastAsia="Times New Roman" w:hAnsi="Times New Roman" w:cs="Times New Roman"/>
          <w:color w:val="000000"/>
          <w:sz w:val="24"/>
          <w:szCs w:val="24"/>
          <w:lang w:val="en-US"/>
        </w:rPr>
        <w:t>Kiryluk-Dryjska</w:t>
      </w:r>
      <w:proofErr w:type="spellEnd"/>
      <w:r w:rsidRPr="00762029">
        <w:rPr>
          <w:rFonts w:ascii="Times New Roman" w:eastAsia="Times New Roman" w:hAnsi="Times New Roman" w:cs="Times New Roman"/>
          <w:color w:val="000000"/>
          <w:sz w:val="24"/>
          <w:szCs w:val="24"/>
          <w:lang w:val="en-US"/>
        </w:rPr>
        <w:t xml:space="preserve"> E., </w:t>
      </w:r>
      <w:proofErr w:type="spellStart"/>
      <w:r w:rsidRPr="00762029">
        <w:rPr>
          <w:rFonts w:ascii="Times New Roman" w:eastAsia="Times New Roman" w:hAnsi="Times New Roman" w:cs="Times New Roman"/>
          <w:color w:val="000000"/>
          <w:sz w:val="24"/>
          <w:szCs w:val="24"/>
          <w:lang w:val="en-US"/>
        </w:rPr>
        <w:t>Więckowska</w:t>
      </w:r>
      <w:proofErr w:type="spellEnd"/>
      <w:r w:rsidRPr="00762029">
        <w:rPr>
          <w:rFonts w:ascii="Times New Roman" w:eastAsia="Times New Roman" w:hAnsi="Times New Roman" w:cs="Times New Roman"/>
          <w:color w:val="000000"/>
          <w:sz w:val="24"/>
          <w:szCs w:val="24"/>
          <w:lang w:val="en-US"/>
        </w:rPr>
        <w:t xml:space="preserve"> B., </w:t>
      </w:r>
      <w:proofErr w:type="spellStart"/>
      <w:r w:rsidRPr="00762029">
        <w:rPr>
          <w:rFonts w:ascii="Times New Roman" w:eastAsia="Times New Roman" w:hAnsi="Times New Roman" w:cs="Times New Roman"/>
          <w:color w:val="000000"/>
          <w:sz w:val="24"/>
          <w:szCs w:val="24"/>
          <w:lang w:val="en-US"/>
        </w:rPr>
        <w:t>Smolińska</w:t>
      </w:r>
      <w:proofErr w:type="spellEnd"/>
      <w:r w:rsidRPr="00762029">
        <w:rPr>
          <w:rFonts w:ascii="Times New Roman" w:eastAsia="Times New Roman" w:hAnsi="Times New Roman" w:cs="Times New Roman"/>
          <w:color w:val="000000"/>
          <w:sz w:val="24"/>
          <w:szCs w:val="24"/>
          <w:lang w:val="en-US"/>
        </w:rPr>
        <w:t xml:space="preserve"> K. (2022): </w:t>
      </w:r>
      <w:r w:rsidRPr="00762029">
        <w:rPr>
          <w:rFonts w:ascii="Times New Roman" w:eastAsia="Times New Roman" w:hAnsi="Times New Roman" w:cs="Times New Roman"/>
          <w:i/>
          <w:color w:val="000000"/>
          <w:sz w:val="24"/>
          <w:szCs w:val="24"/>
          <w:lang w:val="en-US"/>
        </w:rPr>
        <w:t>Winners and Losers of the CAP’s Rural Development Policy in Poland,</w:t>
      </w:r>
      <w:r w:rsidRPr="00762029">
        <w:rPr>
          <w:rFonts w:ascii="Times New Roman" w:eastAsia="Times New Roman" w:hAnsi="Times New Roman" w:cs="Times New Roman"/>
          <w:color w:val="000000"/>
          <w:sz w:val="24"/>
          <w:szCs w:val="24"/>
          <w:lang w:val="en-US"/>
        </w:rPr>
        <w:t xml:space="preserve"> Agriculture 2022, 12(5), 676; https://doi.org/10.3390/agriculture12050676 - 10 May 2022</w:t>
      </w:r>
    </w:p>
    <w:p w:rsidR="00762029" w:rsidRPr="00762029" w:rsidRDefault="00762029" w:rsidP="00762029">
      <w:pPr>
        <w:numPr>
          <w:ilvl w:val="0"/>
          <w:numId w:val="3"/>
        </w:numPr>
        <w:spacing w:after="0" w:line="240" w:lineRule="auto"/>
        <w:jc w:val="both"/>
        <w:rPr>
          <w:rFonts w:ascii="Times New Roman" w:eastAsia="Times New Roman" w:hAnsi="Times New Roman" w:cs="Times New Roman"/>
          <w:sz w:val="24"/>
          <w:szCs w:val="24"/>
        </w:rPr>
      </w:pPr>
      <w:proofErr w:type="spellStart"/>
      <w:r w:rsidRPr="00762029">
        <w:rPr>
          <w:rFonts w:ascii="Times New Roman" w:eastAsia="Times New Roman" w:hAnsi="Times New Roman" w:cs="Times New Roman"/>
          <w:sz w:val="24"/>
          <w:szCs w:val="24"/>
        </w:rPr>
        <w:t>Kiryluk-Dryjska</w:t>
      </w:r>
      <w:proofErr w:type="spellEnd"/>
      <w:r w:rsidRPr="00762029">
        <w:rPr>
          <w:rFonts w:ascii="Times New Roman" w:eastAsia="Times New Roman" w:hAnsi="Times New Roman" w:cs="Times New Roman"/>
          <w:sz w:val="24"/>
          <w:szCs w:val="24"/>
        </w:rPr>
        <w:t xml:space="preserve"> E. (2022): </w:t>
      </w:r>
      <w:r w:rsidRPr="00762029">
        <w:rPr>
          <w:rFonts w:ascii="Times New Roman" w:eastAsia="Times New Roman" w:hAnsi="Times New Roman" w:cs="Times New Roman"/>
          <w:i/>
          <w:sz w:val="24"/>
          <w:szCs w:val="24"/>
        </w:rPr>
        <w:t>Rezultaty alokacyjne zastosowania wybranych algorytmów sprawiedliwego podziału dóbr w sektorze publicznym</w:t>
      </w:r>
      <w:r w:rsidRPr="00762029">
        <w:rPr>
          <w:rFonts w:ascii="Times New Roman" w:eastAsia="Times New Roman" w:hAnsi="Times New Roman" w:cs="Times New Roman"/>
          <w:sz w:val="24"/>
          <w:szCs w:val="24"/>
        </w:rPr>
        <w:t xml:space="preserve">, w (red.) S. Owsiak, J. </w:t>
      </w:r>
      <w:proofErr w:type="spellStart"/>
      <w:r w:rsidRPr="00762029">
        <w:rPr>
          <w:rFonts w:ascii="Times New Roman" w:eastAsia="Times New Roman" w:hAnsi="Times New Roman" w:cs="Times New Roman"/>
          <w:sz w:val="24"/>
          <w:szCs w:val="24"/>
        </w:rPr>
        <w:t>Wilkin</w:t>
      </w:r>
      <w:proofErr w:type="spellEnd"/>
      <w:r w:rsidRPr="00762029">
        <w:rPr>
          <w:rFonts w:ascii="Times New Roman" w:eastAsia="Times New Roman" w:hAnsi="Times New Roman" w:cs="Times New Roman"/>
          <w:sz w:val="24"/>
          <w:szCs w:val="24"/>
        </w:rPr>
        <w:t>, M. Zalewska, Stefa realna i regulacyjna gospodarki, Ekonomiści dla Rozwoju, PTE, Warszawa</w:t>
      </w:r>
    </w:p>
    <w:p w:rsidR="00762029" w:rsidRPr="00762029" w:rsidRDefault="00762029" w:rsidP="00762029">
      <w:pPr>
        <w:numPr>
          <w:ilvl w:val="0"/>
          <w:numId w:val="3"/>
        </w:numPr>
        <w:spacing w:after="0" w:line="240" w:lineRule="auto"/>
        <w:contextualSpacing/>
        <w:jc w:val="both"/>
        <w:rPr>
          <w:rFonts w:ascii="Times New Roman" w:eastAsia="Times New Roman" w:hAnsi="Times New Roman" w:cs="Times New Roman"/>
          <w:color w:val="000000"/>
          <w:sz w:val="24"/>
          <w:szCs w:val="24"/>
          <w:lang w:val="en-US"/>
        </w:rPr>
      </w:pPr>
      <w:proofErr w:type="spellStart"/>
      <w:r w:rsidRPr="00762029">
        <w:rPr>
          <w:rFonts w:ascii="Times New Roman" w:eastAsia="Times New Roman" w:hAnsi="Times New Roman" w:cs="Times New Roman"/>
          <w:color w:val="000000"/>
          <w:sz w:val="24"/>
          <w:szCs w:val="24"/>
          <w:lang w:val="en-US"/>
        </w:rPr>
        <w:t>Kiryluk-Dryjska</w:t>
      </w:r>
      <w:proofErr w:type="spellEnd"/>
      <w:r w:rsidRPr="00762029">
        <w:rPr>
          <w:rFonts w:ascii="Times New Roman" w:eastAsia="Times New Roman" w:hAnsi="Times New Roman" w:cs="Times New Roman"/>
          <w:color w:val="000000"/>
          <w:sz w:val="24"/>
          <w:szCs w:val="24"/>
          <w:lang w:val="en-US"/>
        </w:rPr>
        <w:t xml:space="preserve"> E., Baer-</w:t>
      </w:r>
      <w:proofErr w:type="spellStart"/>
      <w:r w:rsidRPr="00762029">
        <w:rPr>
          <w:rFonts w:ascii="Times New Roman" w:eastAsia="Times New Roman" w:hAnsi="Times New Roman" w:cs="Times New Roman"/>
          <w:color w:val="000000"/>
          <w:sz w:val="24"/>
          <w:szCs w:val="24"/>
          <w:lang w:val="en-US"/>
        </w:rPr>
        <w:t>Nawrocka</w:t>
      </w:r>
      <w:proofErr w:type="spellEnd"/>
      <w:r w:rsidRPr="00762029">
        <w:rPr>
          <w:rFonts w:ascii="Times New Roman" w:eastAsia="Times New Roman" w:hAnsi="Times New Roman" w:cs="Times New Roman"/>
          <w:color w:val="000000"/>
          <w:sz w:val="24"/>
          <w:szCs w:val="24"/>
          <w:lang w:val="en-US"/>
        </w:rPr>
        <w:t xml:space="preserve"> A., (2021):   </w:t>
      </w:r>
      <w:r w:rsidRPr="00762029">
        <w:rPr>
          <w:rFonts w:ascii="Times New Roman" w:eastAsia="Times New Roman" w:hAnsi="Times New Roman" w:cs="Times New Roman"/>
          <w:i/>
          <w:color w:val="000000"/>
          <w:sz w:val="24"/>
          <w:szCs w:val="24"/>
          <w:lang w:val="en-US"/>
        </w:rPr>
        <w:t xml:space="preserve">Regional Differences in Benefits from the EU Common Agricultural Policy in Poland and Their Policy Implications, </w:t>
      </w:r>
      <w:r w:rsidRPr="00762029">
        <w:rPr>
          <w:rFonts w:ascii="Times New Roman" w:eastAsia="Times New Roman" w:hAnsi="Times New Roman" w:cs="Times New Roman"/>
          <w:color w:val="000000"/>
          <w:sz w:val="24"/>
          <w:szCs w:val="24"/>
          <w:lang w:val="en-US"/>
        </w:rPr>
        <w:t xml:space="preserve"> Agriculture,  11(4), 288; </w:t>
      </w:r>
      <w:hyperlink r:id="rId6" w:history="1">
        <w:r w:rsidRPr="00762029">
          <w:rPr>
            <w:rFonts w:ascii="Times New Roman" w:eastAsia="Times New Roman" w:hAnsi="Times New Roman" w:cs="Times New Roman"/>
            <w:color w:val="0000FF"/>
            <w:sz w:val="24"/>
            <w:szCs w:val="24"/>
            <w:u w:val="single"/>
            <w:lang w:val="en-US"/>
          </w:rPr>
          <w:t>https://doi.org/10.3390/agriculture11040288 - 27 Mar 2021</w:t>
        </w:r>
      </w:hyperlink>
    </w:p>
    <w:p w:rsidR="00762029" w:rsidRPr="00762029" w:rsidRDefault="00762029" w:rsidP="00762029">
      <w:pPr>
        <w:numPr>
          <w:ilvl w:val="0"/>
          <w:numId w:val="3"/>
        </w:numPr>
        <w:spacing w:after="0" w:line="240" w:lineRule="auto"/>
        <w:ind w:left="782" w:hanging="357"/>
        <w:contextualSpacing/>
        <w:jc w:val="both"/>
        <w:rPr>
          <w:rFonts w:ascii="Times New Roman" w:eastAsia="Times New Roman" w:hAnsi="Times New Roman" w:cs="Times New Roman"/>
          <w:color w:val="000000"/>
          <w:sz w:val="24"/>
          <w:szCs w:val="24"/>
          <w:u w:val="single"/>
          <w:lang w:val="en-US"/>
        </w:rPr>
      </w:pPr>
      <w:proofErr w:type="spellStart"/>
      <w:r w:rsidRPr="00762029">
        <w:rPr>
          <w:rFonts w:ascii="Times New Roman" w:eastAsia="Times New Roman" w:hAnsi="Times New Roman" w:cs="Times New Roman"/>
          <w:color w:val="000000"/>
          <w:sz w:val="24"/>
          <w:szCs w:val="24"/>
          <w:lang w:val="en-US"/>
        </w:rPr>
        <w:t>Kiryluk-Dryjska</w:t>
      </w:r>
      <w:proofErr w:type="spellEnd"/>
      <w:r w:rsidRPr="00762029">
        <w:rPr>
          <w:rFonts w:ascii="Times New Roman" w:eastAsia="Times New Roman" w:hAnsi="Times New Roman" w:cs="Times New Roman"/>
          <w:color w:val="000000"/>
          <w:sz w:val="24"/>
          <w:szCs w:val="24"/>
          <w:lang w:val="en-US"/>
        </w:rPr>
        <w:t xml:space="preserve"> E., </w:t>
      </w:r>
      <w:proofErr w:type="spellStart"/>
      <w:r w:rsidRPr="00762029">
        <w:rPr>
          <w:rFonts w:ascii="Times New Roman" w:eastAsia="Times New Roman" w:hAnsi="Times New Roman" w:cs="Times New Roman"/>
          <w:color w:val="000000"/>
          <w:sz w:val="24"/>
          <w:szCs w:val="24"/>
          <w:lang w:val="en-US"/>
        </w:rPr>
        <w:t>Więckowska</w:t>
      </w:r>
      <w:proofErr w:type="spellEnd"/>
      <w:r w:rsidRPr="00762029">
        <w:rPr>
          <w:rFonts w:ascii="Times New Roman" w:eastAsia="Times New Roman" w:hAnsi="Times New Roman" w:cs="Times New Roman"/>
          <w:color w:val="000000"/>
          <w:sz w:val="24"/>
          <w:szCs w:val="24"/>
          <w:lang w:val="en-US"/>
        </w:rPr>
        <w:t xml:space="preserve"> B, Sadowski A. (2021): </w:t>
      </w:r>
      <w:r w:rsidRPr="00762029">
        <w:rPr>
          <w:rFonts w:ascii="Times New Roman" w:eastAsia="Times New Roman" w:hAnsi="Times New Roman" w:cs="Times New Roman"/>
          <w:i/>
          <w:color w:val="000000"/>
          <w:sz w:val="24"/>
          <w:szCs w:val="24"/>
          <w:lang w:val="en-US"/>
        </w:rPr>
        <w:t>Spatial determinants of farmers’ interest in European Union’s pro-investment programs in Poland</w:t>
      </w:r>
      <w:r w:rsidRPr="00762029">
        <w:rPr>
          <w:rFonts w:ascii="Times New Roman" w:eastAsia="Times New Roman" w:hAnsi="Times New Roman" w:cs="Times New Roman"/>
          <w:color w:val="000000"/>
          <w:sz w:val="24"/>
          <w:szCs w:val="24"/>
          <w:lang w:val="en-US"/>
        </w:rPr>
        <w:t xml:space="preserve">,  </w:t>
      </w:r>
      <w:proofErr w:type="spellStart"/>
      <w:r w:rsidRPr="00762029">
        <w:rPr>
          <w:rFonts w:ascii="Times New Roman" w:eastAsia="Times New Roman" w:hAnsi="Times New Roman" w:cs="Times New Roman"/>
          <w:color w:val="000000"/>
          <w:sz w:val="24"/>
          <w:szCs w:val="24"/>
          <w:lang w:val="en-US"/>
        </w:rPr>
        <w:t>PLoS</w:t>
      </w:r>
      <w:proofErr w:type="spellEnd"/>
      <w:r w:rsidRPr="00762029">
        <w:rPr>
          <w:rFonts w:ascii="Times New Roman" w:eastAsia="Times New Roman" w:hAnsi="Times New Roman" w:cs="Times New Roman"/>
          <w:color w:val="000000"/>
          <w:sz w:val="24"/>
          <w:szCs w:val="24"/>
          <w:lang w:val="en-US"/>
        </w:rPr>
        <w:t xml:space="preserve"> ONE 16(3): e0248059. </w:t>
      </w:r>
      <w:hyperlink r:id="rId7" w:history="1">
        <w:r w:rsidRPr="00762029">
          <w:rPr>
            <w:rFonts w:ascii="Times New Roman" w:eastAsia="Times New Roman" w:hAnsi="Times New Roman" w:cs="Times New Roman"/>
            <w:color w:val="0000FF"/>
            <w:sz w:val="24"/>
            <w:szCs w:val="24"/>
            <w:u w:val="single"/>
            <w:lang w:val="en-US"/>
          </w:rPr>
          <w:t>https://doi.org/10.1371/journal.pone.0248059</w:t>
        </w:r>
      </w:hyperlink>
    </w:p>
    <w:p w:rsidR="00762029" w:rsidRPr="00762029" w:rsidRDefault="00762029" w:rsidP="00762029">
      <w:pPr>
        <w:numPr>
          <w:ilvl w:val="0"/>
          <w:numId w:val="3"/>
        </w:numPr>
        <w:spacing w:after="0" w:line="240" w:lineRule="auto"/>
        <w:ind w:left="782" w:hanging="357"/>
        <w:contextualSpacing/>
        <w:rPr>
          <w:rFonts w:ascii="Times New Roman" w:eastAsia="Times New Roman" w:hAnsi="Times New Roman" w:cs="Times New Roman"/>
          <w:color w:val="000000"/>
          <w:sz w:val="24"/>
          <w:szCs w:val="24"/>
          <w:lang w:val="en-US"/>
        </w:rPr>
      </w:pPr>
      <w:proofErr w:type="spellStart"/>
      <w:r w:rsidRPr="00762029">
        <w:rPr>
          <w:rFonts w:ascii="Times New Roman" w:eastAsia="Times New Roman" w:hAnsi="Times New Roman" w:cs="Times New Roman"/>
          <w:color w:val="000000"/>
          <w:sz w:val="24"/>
          <w:szCs w:val="24"/>
          <w:lang w:val="en-US"/>
        </w:rPr>
        <w:t>Kiryluk-Dryjska</w:t>
      </w:r>
      <w:proofErr w:type="spellEnd"/>
      <w:r w:rsidRPr="00762029">
        <w:rPr>
          <w:rFonts w:ascii="Times New Roman" w:eastAsia="Times New Roman" w:hAnsi="Times New Roman" w:cs="Times New Roman"/>
          <w:color w:val="000000"/>
          <w:sz w:val="24"/>
          <w:szCs w:val="24"/>
          <w:lang w:val="en-US"/>
        </w:rPr>
        <w:t xml:space="preserve"> E., </w:t>
      </w:r>
      <w:proofErr w:type="spellStart"/>
      <w:r w:rsidRPr="00762029">
        <w:rPr>
          <w:rFonts w:ascii="Times New Roman" w:eastAsia="Times New Roman" w:hAnsi="Times New Roman" w:cs="Times New Roman"/>
          <w:color w:val="000000"/>
          <w:sz w:val="24"/>
          <w:szCs w:val="24"/>
          <w:lang w:val="en-US"/>
        </w:rPr>
        <w:t>Więckowska</w:t>
      </w:r>
      <w:proofErr w:type="spellEnd"/>
      <w:r w:rsidRPr="00762029">
        <w:rPr>
          <w:rFonts w:ascii="Times New Roman" w:eastAsia="Times New Roman" w:hAnsi="Times New Roman" w:cs="Times New Roman"/>
          <w:color w:val="000000"/>
          <w:sz w:val="24"/>
          <w:szCs w:val="24"/>
          <w:lang w:val="en-US"/>
        </w:rPr>
        <w:t xml:space="preserve"> B. (2020): </w:t>
      </w:r>
      <w:r w:rsidRPr="00762029">
        <w:rPr>
          <w:rFonts w:ascii="Times New Roman" w:eastAsia="Times New Roman" w:hAnsi="Times New Roman" w:cs="Times New Roman"/>
          <w:i/>
          <w:color w:val="000000"/>
          <w:sz w:val="24"/>
          <w:szCs w:val="24"/>
          <w:lang w:val="en-US"/>
        </w:rPr>
        <w:t>Territorial Clusters of Farmers’ Interest in Diversification in Poland: Geospatial Location and Characteristics</w:t>
      </w:r>
      <w:r w:rsidRPr="00762029">
        <w:rPr>
          <w:rFonts w:ascii="Times New Roman" w:eastAsia="Times New Roman" w:hAnsi="Times New Roman" w:cs="Times New Roman"/>
          <w:color w:val="000000"/>
          <w:sz w:val="24"/>
          <w:szCs w:val="24"/>
          <w:lang w:val="en-US"/>
        </w:rPr>
        <w:t>, Sustainability 2020, 12, 5276.</w:t>
      </w:r>
    </w:p>
    <w:p w:rsidR="00762029" w:rsidRPr="00762029" w:rsidRDefault="00762029" w:rsidP="00762029">
      <w:pPr>
        <w:numPr>
          <w:ilvl w:val="0"/>
          <w:numId w:val="3"/>
        </w:numPr>
        <w:spacing w:after="0" w:line="240" w:lineRule="auto"/>
        <w:jc w:val="both"/>
        <w:rPr>
          <w:rFonts w:ascii="Times New Roman" w:eastAsia="Times New Roman" w:hAnsi="Times New Roman" w:cs="Times New Roman"/>
          <w:b/>
          <w:bCs/>
          <w:sz w:val="24"/>
          <w:szCs w:val="24"/>
          <w:shd w:val="clear" w:color="auto" w:fill="FFFFFF"/>
          <w:lang w:val="en-US"/>
        </w:rPr>
      </w:pPr>
      <w:proofErr w:type="spellStart"/>
      <w:r w:rsidRPr="00762029">
        <w:rPr>
          <w:rFonts w:ascii="Times New Roman" w:eastAsia="Times New Roman" w:hAnsi="Times New Roman" w:cs="Times New Roman"/>
          <w:sz w:val="24"/>
          <w:szCs w:val="24"/>
          <w:lang w:val="en-US"/>
        </w:rPr>
        <w:t>Kiryluk-Dryjska</w:t>
      </w:r>
      <w:proofErr w:type="spellEnd"/>
      <w:r w:rsidRPr="00762029">
        <w:rPr>
          <w:rFonts w:ascii="Times New Roman" w:eastAsia="Times New Roman" w:hAnsi="Times New Roman" w:cs="Times New Roman"/>
          <w:sz w:val="24"/>
          <w:szCs w:val="24"/>
          <w:lang w:val="en-US"/>
        </w:rPr>
        <w:t xml:space="preserve"> E., </w:t>
      </w:r>
      <w:proofErr w:type="spellStart"/>
      <w:r w:rsidRPr="00762029">
        <w:rPr>
          <w:rFonts w:ascii="Times New Roman" w:eastAsia="Times New Roman" w:hAnsi="Times New Roman" w:cs="Times New Roman"/>
          <w:sz w:val="24"/>
          <w:szCs w:val="24"/>
          <w:lang w:val="en-US"/>
        </w:rPr>
        <w:t>Beba</w:t>
      </w:r>
      <w:proofErr w:type="spellEnd"/>
      <w:r w:rsidRPr="00762029">
        <w:rPr>
          <w:rFonts w:ascii="Times New Roman" w:eastAsia="Times New Roman" w:hAnsi="Times New Roman" w:cs="Times New Roman"/>
          <w:sz w:val="24"/>
          <w:szCs w:val="24"/>
          <w:lang w:val="en-US"/>
        </w:rPr>
        <w:t xml:space="preserve"> P. </w:t>
      </w:r>
      <w:proofErr w:type="spellStart"/>
      <w:r w:rsidRPr="00762029">
        <w:rPr>
          <w:rFonts w:ascii="Times New Roman" w:eastAsia="Times New Roman" w:hAnsi="Times New Roman" w:cs="Times New Roman"/>
          <w:sz w:val="24"/>
          <w:szCs w:val="24"/>
          <w:lang w:val="en-US"/>
        </w:rPr>
        <w:t>Poczta</w:t>
      </w:r>
      <w:proofErr w:type="spellEnd"/>
      <w:r w:rsidRPr="00762029">
        <w:rPr>
          <w:rFonts w:ascii="Times New Roman" w:eastAsia="Times New Roman" w:hAnsi="Times New Roman" w:cs="Times New Roman"/>
          <w:sz w:val="24"/>
          <w:szCs w:val="24"/>
          <w:lang w:val="en-US"/>
        </w:rPr>
        <w:t xml:space="preserve"> W. (2020): </w:t>
      </w:r>
      <w:r w:rsidRPr="00762029">
        <w:rPr>
          <w:rFonts w:ascii="Times New Roman" w:eastAsia="Times New Roman" w:hAnsi="Times New Roman" w:cs="Times New Roman"/>
          <w:i/>
          <w:color w:val="000000"/>
          <w:sz w:val="24"/>
          <w:szCs w:val="24"/>
          <w:lang w:val="en-US"/>
        </w:rPr>
        <w:t xml:space="preserve">Local determinants of the Common Agricultural Policy rural development funds’ distribution in Poland and their spatial implications, </w:t>
      </w:r>
      <w:r w:rsidRPr="00762029">
        <w:rPr>
          <w:rFonts w:ascii="Times New Roman" w:eastAsia="Times New Roman" w:hAnsi="Times New Roman" w:cs="Times New Roman"/>
          <w:sz w:val="24"/>
          <w:szCs w:val="24"/>
          <w:shd w:val="clear" w:color="auto" w:fill="FFFFFF"/>
          <w:lang w:val="en-US"/>
        </w:rPr>
        <w:t>Journal of Rural Studies 74 (2020) 201-209</w:t>
      </w:r>
    </w:p>
    <w:p w:rsidR="00762029" w:rsidRPr="00762029" w:rsidRDefault="00762029" w:rsidP="00762029">
      <w:pPr>
        <w:numPr>
          <w:ilvl w:val="0"/>
          <w:numId w:val="3"/>
        </w:numPr>
        <w:spacing w:after="0" w:line="240" w:lineRule="auto"/>
        <w:jc w:val="both"/>
        <w:rPr>
          <w:rFonts w:ascii="Times New Roman" w:eastAsia="Times New Roman" w:hAnsi="Times New Roman" w:cs="Times New Roman"/>
          <w:sz w:val="24"/>
          <w:szCs w:val="24"/>
          <w:lang w:val="en-US"/>
        </w:rPr>
      </w:pPr>
      <w:proofErr w:type="spellStart"/>
      <w:r w:rsidRPr="00762029">
        <w:rPr>
          <w:rFonts w:ascii="Times New Roman" w:eastAsia="Times New Roman" w:hAnsi="Times New Roman" w:cs="Times New Roman"/>
          <w:sz w:val="24"/>
          <w:szCs w:val="24"/>
          <w:lang w:val="en-US"/>
        </w:rPr>
        <w:t>Kiryluk-Dryjska</w:t>
      </w:r>
      <w:proofErr w:type="spellEnd"/>
      <w:r w:rsidRPr="00762029">
        <w:rPr>
          <w:rFonts w:ascii="Times New Roman" w:eastAsia="Times New Roman" w:hAnsi="Times New Roman" w:cs="Times New Roman"/>
          <w:sz w:val="24"/>
          <w:szCs w:val="24"/>
          <w:lang w:val="en-US"/>
        </w:rPr>
        <w:t xml:space="preserve"> E. (2020): </w:t>
      </w:r>
      <w:r w:rsidRPr="00762029">
        <w:rPr>
          <w:rFonts w:ascii="Times New Roman" w:eastAsia="Times New Roman" w:hAnsi="Times New Roman" w:cs="Times New Roman"/>
          <w:bCs/>
          <w:i/>
          <w:sz w:val="24"/>
          <w:szCs w:val="24"/>
          <w:shd w:val="clear" w:color="auto" w:fill="FFFFFF"/>
          <w:lang w:val="en-US"/>
        </w:rPr>
        <w:t xml:space="preserve">Formal procedures in rural development planning: a comparison of selected methods, </w:t>
      </w:r>
      <w:r w:rsidRPr="00762029">
        <w:rPr>
          <w:rFonts w:ascii="Times New Roman" w:eastAsia="Times New Roman" w:hAnsi="Times New Roman" w:cs="Times New Roman"/>
          <w:sz w:val="24"/>
          <w:szCs w:val="24"/>
          <w:lang w:val="en-US"/>
        </w:rPr>
        <w:t>Research Papers of Wroclaw University of Economics and Business, 2020, vol. 64, nr 4.</w:t>
      </w:r>
    </w:p>
    <w:p w:rsidR="00762029" w:rsidRPr="00762029" w:rsidRDefault="00762029" w:rsidP="00762029">
      <w:pPr>
        <w:numPr>
          <w:ilvl w:val="0"/>
          <w:numId w:val="3"/>
        </w:numPr>
        <w:spacing w:after="0" w:line="240" w:lineRule="auto"/>
        <w:jc w:val="both"/>
        <w:rPr>
          <w:rFonts w:ascii="Times New Roman" w:eastAsia="Times New Roman" w:hAnsi="Times New Roman" w:cs="Times New Roman"/>
          <w:b/>
          <w:bCs/>
          <w:sz w:val="24"/>
          <w:szCs w:val="24"/>
          <w:shd w:val="clear" w:color="auto" w:fill="FFFFFF"/>
          <w:lang w:val="en-US"/>
        </w:rPr>
      </w:pPr>
      <w:proofErr w:type="spellStart"/>
      <w:r w:rsidRPr="00762029">
        <w:rPr>
          <w:rFonts w:ascii="Times New Roman" w:eastAsia="Times New Roman" w:hAnsi="Times New Roman" w:cs="Times New Roman"/>
          <w:color w:val="000000"/>
          <w:sz w:val="24"/>
          <w:szCs w:val="24"/>
          <w:lang w:val="en-US"/>
        </w:rPr>
        <w:t>Kiryluk-Dryjska</w:t>
      </w:r>
      <w:proofErr w:type="spellEnd"/>
      <w:r w:rsidRPr="00762029">
        <w:rPr>
          <w:rFonts w:ascii="Times New Roman" w:eastAsia="Times New Roman" w:hAnsi="Times New Roman" w:cs="Times New Roman"/>
          <w:color w:val="000000"/>
          <w:sz w:val="24"/>
          <w:szCs w:val="24"/>
          <w:lang w:val="en-US"/>
        </w:rPr>
        <w:t xml:space="preserve"> E., Baer-</w:t>
      </w:r>
      <w:proofErr w:type="spellStart"/>
      <w:r w:rsidRPr="00762029">
        <w:rPr>
          <w:rFonts w:ascii="Times New Roman" w:eastAsia="Times New Roman" w:hAnsi="Times New Roman" w:cs="Times New Roman"/>
          <w:color w:val="000000"/>
          <w:sz w:val="24"/>
          <w:szCs w:val="24"/>
          <w:lang w:val="en-US"/>
        </w:rPr>
        <w:t>Nawrocka</w:t>
      </w:r>
      <w:proofErr w:type="spellEnd"/>
      <w:r w:rsidRPr="00762029">
        <w:rPr>
          <w:rFonts w:ascii="Times New Roman" w:eastAsia="Times New Roman" w:hAnsi="Times New Roman" w:cs="Times New Roman"/>
          <w:color w:val="000000"/>
          <w:sz w:val="24"/>
          <w:szCs w:val="24"/>
          <w:lang w:val="en-US"/>
        </w:rPr>
        <w:t xml:space="preserve"> A. (2019): </w:t>
      </w:r>
      <w:r w:rsidRPr="00762029">
        <w:rPr>
          <w:rFonts w:ascii="Times New Roman" w:eastAsia="Times New Roman" w:hAnsi="Times New Roman" w:cs="Times New Roman"/>
          <w:i/>
          <w:color w:val="000000"/>
          <w:sz w:val="24"/>
          <w:szCs w:val="24"/>
          <w:lang w:val="en-US"/>
        </w:rPr>
        <w:t>Reforms of the Common Agricultural Policy of the EU–</w:t>
      </w:r>
      <w:r w:rsidRPr="00762029">
        <w:rPr>
          <w:rFonts w:ascii="Times New Roman" w:eastAsia="Times New Roman" w:hAnsi="Times New Roman" w:cs="Times New Roman"/>
          <w:bCs/>
          <w:i/>
          <w:sz w:val="24"/>
          <w:szCs w:val="24"/>
          <w:shd w:val="clear" w:color="auto" w:fill="FFFFFF"/>
          <w:lang w:val="en-US"/>
        </w:rPr>
        <w:t xml:space="preserve"> </w:t>
      </w:r>
      <w:r w:rsidRPr="00762029">
        <w:rPr>
          <w:rFonts w:ascii="Times New Roman" w:eastAsia="Times New Roman" w:hAnsi="Times New Roman" w:cs="Times New Roman"/>
          <w:i/>
          <w:color w:val="000000"/>
          <w:sz w:val="24"/>
          <w:szCs w:val="24"/>
          <w:lang w:val="en-US"/>
        </w:rPr>
        <w:t xml:space="preserve">expected results and their social acceptance, </w:t>
      </w:r>
      <w:r w:rsidRPr="00762029">
        <w:rPr>
          <w:rFonts w:ascii="Times New Roman" w:eastAsia="Times New Roman" w:hAnsi="Times New Roman" w:cs="Times New Roman"/>
          <w:sz w:val="24"/>
          <w:szCs w:val="24"/>
          <w:shd w:val="clear" w:color="auto" w:fill="FFFFFF"/>
          <w:lang w:val="en-US"/>
        </w:rPr>
        <w:t>Journal of Policy Modeling</w:t>
      </w:r>
      <w:r w:rsidRPr="00762029">
        <w:rPr>
          <w:rFonts w:ascii="Times New Roman" w:eastAsia="Times New Roman" w:hAnsi="Times New Roman" w:cs="Times New Roman"/>
          <w:color w:val="000000"/>
          <w:sz w:val="24"/>
          <w:szCs w:val="24"/>
          <w:lang w:val="en-US"/>
        </w:rPr>
        <w:t xml:space="preserve"> 41 (2019) 607–622, doi:10.1016/j.jpolmod.2019.01.003 </w:t>
      </w:r>
    </w:p>
    <w:p w:rsidR="00762029" w:rsidRPr="00762029" w:rsidRDefault="00762029" w:rsidP="00762029">
      <w:pPr>
        <w:numPr>
          <w:ilvl w:val="0"/>
          <w:numId w:val="3"/>
        </w:numPr>
        <w:spacing w:after="0" w:line="240" w:lineRule="auto"/>
        <w:jc w:val="both"/>
        <w:rPr>
          <w:rFonts w:ascii="Times New Roman" w:eastAsia="Times New Roman" w:hAnsi="Times New Roman" w:cs="Times New Roman"/>
          <w:sz w:val="24"/>
          <w:szCs w:val="24"/>
        </w:rPr>
      </w:pPr>
      <w:proofErr w:type="spellStart"/>
      <w:r w:rsidRPr="00762029">
        <w:rPr>
          <w:rFonts w:ascii="Times New Roman" w:eastAsia="Times New Roman" w:hAnsi="Times New Roman" w:cs="Times New Roman"/>
          <w:sz w:val="24"/>
          <w:szCs w:val="24"/>
          <w:shd w:val="clear" w:color="auto" w:fill="FFFFFF"/>
        </w:rPr>
        <w:t>Kiryluk-Dryjska</w:t>
      </w:r>
      <w:proofErr w:type="spellEnd"/>
      <w:r w:rsidRPr="00762029">
        <w:rPr>
          <w:rFonts w:ascii="Times New Roman" w:eastAsia="Times New Roman" w:hAnsi="Times New Roman" w:cs="Times New Roman"/>
          <w:sz w:val="24"/>
          <w:szCs w:val="24"/>
          <w:shd w:val="clear" w:color="auto" w:fill="FFFFFF"/>
        </w:rPr>
        <w:t xml:space="preserve"> E. (2019): </w:t>
      </w:r>
      <w:r w:rsidRPr="00762029">
        <w:rPr>
          <w:rFonts w:ascii="Times New Roman" w:eastAsia="Times New Roman" w:hAnsi="Times New Roman" w:cs="Times New Roman"/>
          <w:i/>
          <w:sz w:val="24"/>
          <w:szCs w:val="24"/>
          <w:shd w:val="clear" w:color="auto" w:fill="FFFFFF"/>
        </w:rPr>
        <w:t>Sprawiedliwy podział. Kryteria, metody i aplikacje</w:t>
      </w:r>
      <w:r w:rsidRPr="00762029">
        <w:rPr>
          <w:rFonts w:ascii="Times New Roman" w:eastAsia="Times New Roman" w:hAnsi="Times New Roman" w:cs="Times New Roman"/>
          <w:sz w:val="24"/>
          <w:szCs w:val="24"/>
          <w:shd w:val="clear" w:color="auto" w:fill="FFFFFF"/>
        </w:rPr>
        <w:t xml:space="preserve">, </w:t>
      </w:r>
      <w:r w:rsidRPr="00762029">
        <w:rPr>
          <w:rFonts w:ascii="Times New Roman" w:eastAsia="Times New Roman" w:hAnsi="Times New Roman" w:cs="Times New Roman"/>
          <w:sz w:val="24"/>
          <w:szCs w:val="24"/>
        </w:rPr>
        <w:t>Wydawnictwo Naukowe PWN, Warszawa ISBN:978-83-01-20793-9</w:t>
      </w:r>
    </w:p>
    <w:p w:rsidR="00762029" w:rsidRDefault="00762029"/>
    <w:sectPr w:rsidR="00762029" w:rsidSect="00A24329">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35C41"/>
    <w:multiLevelType w:val="hybridMultilevel"/>
    <w:tmpl w:val="C900B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9E40A9"/>
    <w:multiLevelType w:val="hybridMultilevel"/>
    <w:tmpl w:val="32380BB8"/>
    <w:lvl w:ilvl="0" w:tplc="E60ACE3E">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4042E7A"/>
    <w:multiLevelType w:val="hybridMultilevel"/>
    <w:tmpl w:val="744280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029"/>
    <w:rsid w:val="003A3F1D"/>
    <w:rsid w:val="00762029"/>
    <w:rsid w:val="00D75716"/>
    <w:rsid w:val="00EE71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2CDE"/>
  <w15:chartTrackingRefBased/>
  <w15:docId w15:val="{B042BA7A-2EB7-41ED-8FAB-E63E4728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762029"/>
    <w:pPr>
      <w:ind w:left="720"/>
      <w:contextualSpacing/>
    </w:pPr>
    <w:rPr>
      <w:rFonts w:eastAsia="Times New Roman" w:cs="Times New Roman"/>
    </w:rPr>
  </w:style>
  <w:style w:type="character" w:customStyle="1" w:styleId="AkapitzlistZnak">
    <w:name w:val="Akapit z listą Znak"/>
    <w:link w:val="Akapitzlist"/>
    <w:locked/>
    <w:rsid w:val="00762029"/>
    <w:rPr>
      <w:rFonts w:eastAsia="Times New Roman" w:cs="Times New Roman"/>
    </w:rPr>
  </w:style>
  <w:style w:type="character" w:styleId="Hipercze">
    <w:name w:val="Hyperlink"/>
    <w:basedOn w:val="Domylnaczcionkaakapitu"/>
    <w:uiPriority w:val="99"/>
    <w:unhideWhenUsed/>
    <w:rsid w:val="0076202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371/journal.pone.02480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390/agriculture11040288%20-%2027%20Mar%202021" TargetMode="External"/><Relationship Id="rId5" Type="http://schemas.openxmlformats.org/officeDocument/2006/relationships/hyperlink" Target="https://doi.org/10.3390/en1513452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916</Words>
  <Characters>5497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Baer-Nawrocka</dc:creator>
  <cp:keywords/>
  <dc:description/>
  <cp:lastModifiedBy>Agnieszka Baer-Nawrocka</cp:lastModifiedBy>
  <cp:revision>2</cp:revision>
  <dcterms:created xsi:type="dcterms:W3CDTF">2022-10-26T20:00:00Z</dcterms:created>
  <dcterms:modified xsi:type="dcterms:W3CDTF">2022-10-26T20:30:00Z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db434f1a-5744-4df5-aa08-da89c68f2a04</vt:lpwstr>
  </property>
</Properties>
</file>